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42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附件：</w:t>
      </w:r>
      <w:bookmarkStart w:id="0" w:name="_GoBack"/>
      <w:bookmarkEnd w:id="0"/>
    </w:p>
    <w:p w14:paraId="60FA2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小额工程设计服务项目征集方案模板</w:t>
      </w:r>
    </w:p>
    <w:p w14:paraId="3D371EE1">
      <w:pPr>
        <w:pStyle w:val="2"/>
        <w:rPr>
          <w:rFonts w:hint="eastAsia"/>
          <w:lang w:eastAsia="zh-CN"/>
        </w:rPr>
      </w:pPr>
    </w:p>
    <w:tbl>
      <w:tblPr>
        <w:tblStyle w:val="7"/>
        <w:tblW w:w="86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1"/>
        <w:gridCol w:w="1135"/>
        <w:gridCol w:w="5808"/>
        <w:gridCol w:w="568"/>
        <w:gridCol w:w="569"/>
      </w:tblGrid>
      <w:tr w14:paraId="47CFC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71" w:type="dxa"/>
            <w:vAlign w:val="top"/>
          </w:tcPr>
          <w:p w14:paraId="514AE903">
            <w:pPr>
              <w:spacing w:before="75" w:line="230" w:lineRule="auto"/>
              <w:ind w:left="8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序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号</w:t>
            </w:r>
          </w:p>
        </w:tc>
        <w:tc>
          <w:tcPr>
            <w:tcW w:w="1135" w:type="dxa"/>
            <w:vAlign w:val="top"/>
          </w:tcPr>
          <w:p w14:paraId="6EA5A864">
            <w:pPr>
              <w:spacing w:before="109" w:line="228" w:lineRule="auto"/>
              <w:ind w:left="17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9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项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目明细</w:t>
            </w:r>
          </w:p>
        </w:tc>
        <w:tc>
          <w:tcPr>
            <w:tcW w:w="5808" w:type="dxa"/>
            <w:vAlign w:val="top"/>
          </w:tcPr>
          <w:p w14:paraId="463099E6">
            <w:pPr>
              <w:spacing w:before="109" w:line="230" w:lineRule="auto"/>
              <w:ind w:left="25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主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要要求</w:t>
            </w:r>
          </w:p>
        </w:tc>
        <w:tc>
          <w:tcPr>
            <w:tcW w:w="568" w:type="dxa"/>
            <w:vAlign w:val="top"/>
          </w:tcPr>
          <w:p w14:paraId="645A4477">
            <w:pPr>
              <w:spacing w:before="76" w:line="228" w:lineRule="auto"/>
              <w:ind w:left="9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数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量</w:t>
            </w:r>
          </w:p>
        </w:tc>
        <w:tc>
          <w:tcPr>
            <w:tcW w:w="569" w:type="dxa"/>
            <w:vAlign w:val="top"/>
          </w:tcPr>
          <w:p w14:paraId="3E0AD111">
            <w:pPr>
              <w:spacing w:before="75" w:line="229" w:lineRule="auto"/>
              <w:ind w:left="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单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位</w:t>
            </w:r>
          </w:p>
        </w:tc>
      </w:tr>
      <w:tr w14:paraId="6B0D1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1" w:hRule="atLeast"/>
        </w:trPr>
        <w:tc>
          <w:tcPr>
            <w:tcW w:w="571" w:type="dxa"/>
            <w:vAlign w:val="top"/>
          </w:tcPr>
          <w:p w14:paraId="7357101B">
            <w:pPr>
              <w:spacing w:line="242" w:lineRule="auto"/>
              <w:rPr>
                <w:rFonts w:ascii="Arial"/>
                <w:sz w:val="21"/>
              </w:rPr>
            </w:pPr>
          </w:p>
          <w:p w14:paraId="58FDE856">
            <w:pPr>
              <w:spacing w:line="242" w:lineRule="auto"/>
              <w:rPr>
                <w:rFonts w:ascii="Arial"/>
                <w:sz w:val="21"/>
              </w:rPr>
            </w:pPr>
          </w:p>
          <w:p w14:paraId="0A033FB8">
            <w:pPr>
              <w:spacing w:line="242" w:lineRule="auto"/>
              <w:rPr>
                <w:rFonts w:ascii="Arial"/>
                <w:sz w:val="21"/>
              </w:rPr>
            </w:pPr>
          </w:p>
          <w:p w14:paraId="1E2A2E02">
            <w:pPr>
              <w:spacing w:line="242" w:lineRule="auto"/>
              <w:rPr>
                <w:rFonts w:ascii="Arial"/>
                <w:sz w:val="21"/>
              </w:rPr>
            </w:pPr>
          </w:p>
          <w:p w14:paraId="54BD6C60">
            <w:pPr>
              <w:spacing w:line="243" w:lineRule="auto"/>
              <w:rPr>
                <w:rFonts w:ascii="Arial"/>
                <w:sz w:val="21"/>
              </w:rPr>
            </w:pPr>
          </w:p>
          <w:p w14:paraId="2D434FBF">
            <w:pPr>
              <w:spacing w:line="243" w:lineRule="auto"/>
              <w:rPr>
                <w:rFonts w:ascii="Arial"/>
                <w:sz w:val="21"/>
              </w:rPr>
            </w:pPr>
          </w:p>
          <w:p w14:paraId="22346E70">
            <w:pPr>
              <w:spacing w:before="62" w:line="191" w:lineRule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1135" w:type="dxa"/>
            <w:vAlign w:val="top"/>
          </w:tcPr>
          <w:p w14:paraId="27A3BDFC">
            <w:pPr>
              <w:rPr>
                <w:rFonts w:ascii="Arial"/>
                <w:sz w:val="21"/>
              </w:rPr>
            </w:pPr>
          </w:p>
          <w:p w14:paraId="5DBF2094">
            <w:pPr>
              <w:rPr>
                <w:rFonts w:ascii="Arial"/>
                <w:sz w:val="21"/>
              </w:rPr>
            </w:pPr>
          </w:p>
          <w:p w14:paraId="49C62D7B">
            <w:pPr>
              <w:rPr>
                <w:rFonts w:ascii="Arial"/>
                <w:sz w:val="21"/>
              </w:rPr>
            </w:pPr>
          </w:p>
          <w:p w14:paraId="32584750">
            <w:pPr>
              <w:rPr>
                <w:rFonts w:ascii="Arial"/>
                <w:sz w:val="21"/>
              </w:rPr>
            </w:pPr>
          </w:p>
          <w:p w14:paraId="6DE3F665">
            <w:pPr>
              <w:rPr>
                <w:rFonts w:ascii="Arial"/>
                <w:sz w:val="21"/>
              </w:rPr>
            </w:pPr>
          </w:p>
          <w:p w14:paraId="2832CFBE">
            <w:pPr>
              <w:rPr>
                <w:rFonts w:ascii="Arial"/>
                <w:sz w:val="21"/>
              </w:rPr>
            </w:pPr>
          </w:p>
          <w:p w14:paraId="67583D01">
            <w:pPr>
              <w:spacing w:before="62" w:line="228" w:lineRule="auto"/>
              <w:jc w:val="both"/>
              <w:rPr>
                <w:rFonts w:hint="eastAsia" w:ascii="宋体" w:hAnsi="宋体" w:eastAsia="宋体" w:cs="宋体"/>
                <w:sz w:val="19"/>
                <w:szCs w:val="19"/>
                <w:lang w:eastAsia="zh-CN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*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**产品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eastAsia="zh-CN"/>
              </w:rPr>
              <w:t>或服务项目</w:t>
            </w:r>
          </w:p>
        </w:tc>
        <w:tc>
          <w:tcPr>
            <w:tcW w:w="5808" w:type="dxa"/>
            <w:vAlign w:val="top"/>
          </w:tcPr>
          <w:p w14:paraId="676AF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一、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技术要求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或服务内容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：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(以下属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19"/>
                <w:szCs w:val="19"/>
                <w:lang w:val="en-US" w:eastAsia="zh-CN"/>
              </w:rPr>
              <w:t>参考内容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)</w:t>
            </w:r>
          </w:p>
          <w:p w14:paraId="3B38A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技术要求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是指对采购标的的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eastAsia="zh-CN"/>
              </w:rPr>
              <w:t>设计服务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要求，包括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eastAsia="zh-CN"/>
              </w:rPr>
              <w:t>成果、资质、制图规范、方案标准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，或者服务内容和标准等。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可以直接引用相关国家标准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、行业标准、 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地方标准等标准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>、规范，也可以根据项目目标提出更高的技术要求。</w:t>
            </w:r>
          </w:p>
          <w:p w14:paraId="071A2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7" w:firstLine="51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清单中有进口仪器设备的，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需填写省财政厅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《</w:t>
            </w:r>
            <w:r>
              <w:rPr>
                <w:rFonts w:ascii="宋体" w:hAnsi="宋体" w:eastAsia="宋体" w:cs="宋体"/>
                <w:color w:val="auto"/>
                <w:spacing w:val="6"/>
                <w:sz w:val="19"/>
                <w:szCs w:val="19"/>
              </w:rPr>
              <w:t>进口产品申请表》后逐级报批，并按省财政厅的相关规定组织专</w:t>
            </w:r>
            <w:r>
              <w:rPr>
                <w:rFonts w:ascii="宋体" w:hAnsi="宋体" w:eastAsia="宋体" w:cs="宋体"/>
                <w:color w:val="auto"/>
                <w:spacing w:val="-2"/>
                <w:sz w:val="19"/>
                <w:szCs w:val="19"/>
              </w:rPr>
              <w:t>家</w:t>
            </w:r>
            <w:r>
              <w:rPr>
                <w:rFonts w:ascii="宋体" w:hAnsi="宋体" w:eastAsia="宋体" w:cs="宋体"/>
                <w:color w:val="auto"/>
                <w:spacing w:val="-1"/>
                <w:sz w:val="19"/>
                <w:szCs w:val="19"/>
              </w:rPr>
              <w:t>论证。</w:t>
            </w:r>
          </w:p>
          <w:p w14:paraId="50505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" w:line="240" w:lineRule="exact"/>
              <w:ind w:left="5" w:firstLine="521"/>
              <w:textAlignment w:val="auto"/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经论证通过的采购技术参数作为实施采购的依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据，申购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部门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相关人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不得修改。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若采购过程中确需调整，需</w:t>
            </w:r>
            <w:r>
              <w:rPr>
                <w:rFonts w:hint="eastAsia" w:ascii="宋体" w:hAnsi="宋体" w:eastAsia="宋体" w:cs="宋体"/>
                <w:color w:val="auto"/>
                <w:spacing w:val="10"/>
                <w:sz w:val="19"/>
                <w:szCs w:val="19"/>
                <w:lang w:val="en-US" w:eastAsia="zh-CN"/>
              </w:rPr>
              <w:t>职能管理部门、资产管理处及分管院领导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审批。对于调整预算价值占比</w:t>
            </w: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>大于30%的项目必须重新组织论证。</w:t>
            </w:r>
          </w:p>
          <w:p w14:paraId="1E089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8" w:right="2" w:firstLine="509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19"/>
                <w:szCs w:val="19"/>
              </w:rPr>
              <w:t xml:space="preserve">(法规内容) 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除单一来源采购项目外，技术要求不得指向特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定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eastAsia="zh-CN"/>
              </w:rPr>
              <w:t>的专</w:t>
            </w:r>
            <w:r>
              <w:rPr>
                <w:rFonts w:ascii="宋体" w:hAnsi="宋体" w:eastAsia="宋体" w:cs="宋体"/>
                <w:color w:val="auto"/>
                <w:spacing w:val="12"/>
                <w:sz w:val="19"/>
                <w:szCs w:val="19"/>
              </w:rPr>
              <w:t>利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、商标、品牌、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19"/>
                <w:szCs w:val="19"/>
                <w:lang w:eastAsia="zh-CN"/>
              </w:rPr>
              <w:t>设计师、设计路线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等，提供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19"/>
                <w:szCs w:val="19"/>
                <w:lang w:eastAsia="zh-CN"/>
              </w:rPr>
              <w:t>设计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参数</w:t>
            </w:r>
            <w:r>
              <w:rPr>
                <w:rFonts w:hint="eastAsia" w:ascii="宋体" w:hAnsi="宋体" w:eastAsia="宋体" w:cs="宋体"/>
                <w:color w:val="auto"/>
                <w:spacing w:val="9"/>
                <w:sz w:val="19"/>
                <w:szCs w:val="19"/>
                <w:lang w:eastAsia="zh-CN"/>
              </w:rPr>
              <w:t>、制图指标</w:t>
            </w:r>
            <w:r>
              <w:rPr>
                <w:rFonts w:ascii="宋体" w:hAnsi="宋体" w:eastAsia="宋体" w:cs="宋体"/>
                <w:color w:val="auto"/>
                <w:spacing w:val="9"/>
                <w:sz w:val="19"/>
                <w:szCs w:val="19"/>
              </w:rPr>
              <w:t>需要三家及以上</w:t>
            </w: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10"/>
                <w:sz w:val="19"/>
                <w:szCs w:val="19"/>
              </w:rPr>
              <w:t>厂</w:t>
            </w:r>
            <w:r>
              <w:rPr>
                <w:rFonts w:ascii="宋体" w:hAnsi="宋体" w:eastAsia="宋体" w:cs="宋体"/>
                <w:color w:val="auto"/>
                <w:spacing w:val="8"/>
                <w:sz w:val="19"/>
                <w:szCs w:val="19"/>
              </w:rPr>
              <w:t>家满足，而非三家供应商。</w:t>
            </w:r>
          </w:p>
          <w:p w14:paraId="3966A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7" w:line="240" w:lineRule="exact"/>
              <w:ind w:left="140"/>
              <w:textAlignment w:val="auto"/>
              <w:rPr>
                <w:rFonts w:ascii="MS Gothic" w:hAnsi="MS Gothic" w:eastAsia="MS Gothic" w:cs="MS Gothic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11"/>
                <w:position w:val="9"/>
                <w:sz w:val="19"/>
                <w:szCs w:val="19"/>
              </w:rPr>
              <w:t>1</w:t>
            </w:r>
            <w:r>
              <w:rPr>
                <w:rFonts w:ascii="宋体" w:hAnsi="宋体" w:eastAsia="宋体" w:cs="宋体"/>
                <w:color w:val="auto"/>
                <w:spacing w:val="-6"/>
                <w:position w:val="9"/>
                <w:sz w:val="19"/>
                <w:szCs w:val="19"/>
              </w:rPr>
              <w:t>.某项指标:</w:t>
            </w:r>
            <w:r>
              <w:rPr>
                <w:rFonts w:ascii="MS Gothic" w:hAnsi="MS Gothic" w:eastAsia="MS Gothic" w:cs="MS Gothic"/>
                <w:color w:val="auto"/>
                <w:spacing w:val="-6"/>
                <w:position w:val="9"/>
                <w:sz w:val="19"/>
                <w:szCs w:val="19"/>
              </w:rPr>
              <w:t>……</w:t>
            </w:r>
          </w:p>
          <w:p w14:paraId="080F1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128"/>
              <w:textAlignment w:val="auto"/>
              <w:rPr>
                <w:rFonts w:ascii="MS Gothic" w:hAnsi="MS Gothic" w:eastAsia="MS Gothic" w:cs="MS Gothic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pacing w:val="-7"/>
                <w:sz w:val="19"/>
                <w:szCs w:val="19"/>
              </w:rPr>
              <w:t>2</w:t>
            </w:r>
            <w:r>
              <w:rPr>
                <w:rFonts w:ascii="宋体" w:hAnsi="宋体" w:eastAsia="宋体" w:cs="宋体"/>
                <w:color w:val="auto"/>
                <w:spacing w:val="-5"/>
                <w:sz w:val="19"/>
                <w:szCs w:val="19"/>
              </w:rPr>
              <w:t>.某项指标:</w:t>
            </w:r>
            <w:r>
              <w:rPr>
                <w:rFonts w:ascii="MS Gothic" w:hAnsi="MS Gothic" w:eastAsia="MS Gothic" w:cs="MS Gothic"/>
                <w:color w:val="auto"/>
                <w:spacing w:val="-5"/>
                <w:sz w:val="19"/>
                <w:szCs w:val="19"/>
              </w:rPr>
              <w:t>……</w:t>
            </w:r>
          </w:p>
        </w:tc>
        <w:tc>
          <w:tcPr>
            <w:tcW w:w="568" w:type="dxa"/>
            <w:vAlign w:val="top"/>
          </w:tcPr>
          <w:p w14:paraId="427E988A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1FD433C7">
            <w:pPr>
              <w:rPr>
                <w:rFonts w:ascii="Arial"/>
                <w:sz w:val="21"/>
              </w:rPr>
            </w:pPr>
          </w:p>
        </w:tc>
      </w:tr>
      <w:tr w14:paraId="7F0875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71" w:type="dxa"/>
            <w:vAlign w:val="top"/>
          </w:tcPr>
          <w:p w14:paraId="0F543601">
            <w:pPr>
              <w:spacing w:before="88" w:line="190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1135" w:type="dxa"/>
            <w:vAlign w:val="top"/>
          </w:tcPr>
          <w:p w14:paraId="67C3BDC6">
            <w:pPr>
              <w:spacing w:before="54" w:line="233" w:lineRule="auto"/>
              <w:ind w:left="48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3"/>
                <w:sz w:val="19"/>
                <w:szCs w:val="19"/>
              </w:rPr>
              <w:t>„</w:t>
            </w:r>
          </w:p>
        </w:tc>
        <w:tc>
          <w:tcPr>
            <w:tcW w:w="5808" w:type="dxa"/>
            <w:vAlign w:val="top"/>
          </w:tcPr>
          <w:p w14:paraId="053E4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3" w:line="240" w:lineRule="exact"/>
              <w:ind w:left="2728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同</w:t>
            </w: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上</w:t>
            </w:r>
          </w:p>
        </w:tc>
        <w:tc>
          <w:tcPr>
            <w:tcW w:w="568" w:type="dxa"/>
            <w:vAlign w:val="top"/>
          </w:tcPr>
          <w:p w14:paraId="4F0A2A30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208CFA9F">
            <w:pPr>
              <w:rPr>
                <w:rFonts w:ascii="Arial"/>
                <w:sz w:val="21"/>
              </w:rPr>
            </w:pPr>
          </w:p>
        </w:tc>
      </w:tr>
      <w:tr w14:paraId="380356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4" w:hRule="atLeast"/>
        </w:trPr>
        <w:tc>
          <w:tcPr>
            <w:tcW w:w="571" w:type="dxa"/>
            <w:vAlign w:val="top"/>
          </w:tcPr>
          <w:p w14:paraId="592BC9C1">
            <w:pPr>
              <w:spacing w:line="256" w:lineRule="auto"/>
              <w:rPr>
                <w:rFonts w:ascii="Arial"/>
                <w:sz w:val="21"/>
              </w:rPr>
            </w:pPr>
          </w:p>
          <w:p w14:paraId="0C3AE2C1">
            <w:pPr>
              <w:spacing w:line="256" w:lineRule="auto"/>
              <w:rPr>
                <w:rFonts w:ascii="Arial"/>
                <w:sz w:val="21"/>
              </w:rPr>
            </w:pPr>
          </w:p>
          <w:p w14:paraId="312D935A">
            <w:pPr>
              <w:spacing w:line="256" w:lineRule="auto"/>
              <w:rPr>
                <w:rFonts w:ascii="Arial"/>
                <w:sz w:val="21"/>
              </w:rPr>
            </w:pPr>
          </w:p>
          <w:p w14:paraId="302274BE">
            <w:pPr>
              <w:spacing w:line="257" w:lineRule="auto"/>
              <w:rPr>
                <w:rFonts w:ascii="Arial"/>
                <w:sz w:val="21"/>
              </w:rPr>
            </w:pPr>
          </w:p>
          <w:p w14:paraId="5C2F955E">
            <w:pPr>
              <w:spacing w:line="257" w:lineRule="auto"/>
              <w:rPr>
                <w:rFonts w:ascii="Arial"/>
                <w:sz w:val="21"/>
              </w:rPr>
            </w:pPr>
          </w:p>
          <w:p w14:paraId="07F71208">
            <w:pPr>
              <w:spacing w:line="257" w:lineRule="auto"/>
              <w:rPr>
                <w:rFonts w:ascii="Arial"/>
                <w:sz w:val="21"/>
              </w:rPr>
            </w:pPr>
          </w:p>
          <w:p w14:paraId="3F8E659F">
            <w:pPr>
              <w:spacing w:line="257" w:lineRule="auto"/>
              <w:rPr>
                <w:rFonts w:ascii="Arial"/>
                <w:sz w:val="21"/>
              </w:rPr>
            </w:pPr>
          </w:p>
          <w:p w14:paraId="7309CF6D">
            <w:pPr>
              <w:spacing w:line="257" w:lineRule="auto"/>
              <w:rPr>
                <w:rFonts w:ascii="Arial"/>
                <w:sz w:val="21"/>
              </w:rPr>
            </w:pPr>
          </w:p>
          <w:p w14:paraId="68A1FC40">
            <w:pPr>
              <w:spacing w:line="257" w:lineRule="auto"/>
              <w:rPr>
                <w:rFonts w:ascii="Arial"/>
                <w:sz w:val="21"/>
              </w:rPr>
            </w:pPr>
          </w:p>
          <w:p w14:paraId="127F2213">
            <w:pPr>
              <w:spacing w:line="257" w:lineRule="auto"/>
              <w:rPr>
                <w:rFonts w:ascii="Arial"/>
                <w:sz w:val="21"/>
              </w:rPr>
            </w:pPr>
          </w:p>
          <w:p w14:paraId="3C7257AB">
            <w:pPr>
              <w:spacing w:before="62" w:line="189" w:lineRule="auto"/>
              <w:ind w:left="24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1135" w:type="dxa"/>
            <w:vAlign w:val="top"/>
          </w:tcPr>
          <w:p w14:paraId="5E642A54">
            <w:pPr>
              <w:spacing w:line="253" w:lineRule="auto"/>
              <w:rPr>
                <w:rFonts w:ascii="Arial"/>
                <w:sz w:val="21"/>
              </w:rPr>
            </w:pPr>
          </w:p>
          <w:p w14:paraId="12BC190D">
            <w:pPr>
              <w:spacing w:line="253" w:lineRule="auto"/>
              <w:rPr>
                <w:rFonts w:ascii="Arial"/>
                <w:sz w:val="21"/>
              </w:rPr>
            </w:pPr>
          </w:p>
          <w:p w14:paraId="59359D52">
            <w:pPr>
              <w:spacing w:line="253" w:lineRule="auto"/>
              <w:rPr>
                <w:rFonts w:ascii="Arial"/>
                <w:sz w:val="21"/>
              </w:rPr>
            </w:pPr>
          </w:p>
          <w:p w14:paraId="5A33CF8C">
            <w:pPr>
              <w:spacing w:line="253" w:lineRule="auto"/>
              <w:rPr>
                <w:rFonts w:ascii="Arial"/>
                <w:sz w:val="21"/>
              </w:rPr>
            </w:pPr>
          </w:p>
          <w:p w14:paraId="15AFE399">
            <w:pPr>
              <w:spacing w:line="253" w:lineRule="auto"/>
              <w:rPr>
                <w:rFonts w:ascii="Arial"/>
                <w:sz w:val="21"/>
              </w:rPr>
            </w:pPr>
          </w:p>
          <w:p w14:paraId="5D3042FC">
            <w:pPr>
              <w:spacing w:line="253" w:lineRule="auto"/>
              <w:rPr>
                <w:rFonts w:ascii="Arial"/>
                <w:sz w:val="21"/>
              </w:rPr>
            </w:pPr>
          </w:p>
          <w:p w14:paraId="59868DD3">
            <w:pPr>
              <w:spacing w:line="254" w:lineRule="auto"/>
              <w:rPr>
                <w:rFonts w:ascii="Arial"/>
                <w:sz w:val="21"/>
              </w:rPr>
            </w:pPr>
          </w:p>
          <w:p w14:paraId="50AE0097">
            <w:pPr>
              <w:spacing w:line="254" w:lineRule="auto"/>
              <w:rPr>
                <w:rFonts w:ascii="Arial"/>
                <w:sz w:val="21"/>
              </w:rPr>
            </w:pPr>
          </w:p>
          <w:p w14:paraId="5D18D875">
            <w:pPr>
              <w:spacing w:line="254" w:lineRule="auto"/>
              <w:rPr>
                <w:rFonts w:ascii="Arial"/>
                <w:sz w:val="21"/>
              </w:rPr>
            </w:pPr>
          </w:p>
          <w:p w14:paraId="04F4594C">
            <w:pPr>
              <w:spacing w:line="254" w:lineRule="auto"/>
              <w:rPr>
                <w:rFonts w:ascii="Arial"/>
                <w:sz w:val="21"/>
              </w:rPr>
            </w:pPr>
          </w:p>
          <w:p w14:paraId="772F1BAB">
            <w:pPr>
              <w:spacing w:before="62" w:line="228" w:lineRule="auto"/>
              <w:ind w:left="17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商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</w:rPr>
              <w:t>务要求</w:t>
            </w:r>
          </w:p>
        </w:tc>
        <w:tc>
          <w:tcPr>
            <w:tcW w:w="5808" w:type="dxa"/>
            <w:vAlign w:val="top"/>
          </w:tcPr>
          <w:p w14:paraId="41BB1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6" w:line="240" w:lineRule="exact"/>
              <w:ind w:left="110" w:firstLine="394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8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二、商务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要求：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 xml:space="preserve">  (以下属</w:t>
            </w:r>
            <w:r>
              <w:rPr>
                <w:rFonts w:hint="eastAsia" w:ascii="宋体" w:hAnsi="宋体" w:eastAsia="宋体" w:cs="宋体"/>
                <w:color w:val="auto"/>
                <w:spacing w:val="4"/>
                <w:sz w:val="19"/>
                <w:szCs w:val="19"/>
                <w:lang w:val="en-US" w:eastAsia="zh-CN"/>
              </w:rPr>
              <w:t>参考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内容)</w:t>
            </w:r>
          </w:p>
          <w:p w14:paraId="7A67C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4" w:line="240" w:lineRule="exact"/>
              <w:ind w:left="113" w:firstLine="390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color w:val="auto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19"/>
                <w:szCs w:val="19"/>
              </w:rPr>
              <w:t>商务要求是指</w:t>
            </w:r>
            <w:r>
              <w:rPr>
                <w:rFonts w:ascii="宋体" w:hAnsi="宋体" w:eastAsia="宋体" w:cs="宋体"/>
                <w:color w:val="auto"/>
                <w:spacing w:val="1"/>
                <w:sz w:val="19"/>
                <w:szCs w:val="19"/>
              </w:rPr>
              <w:t>取得采购标的的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19"/>
                <w:szCs w:val="19"/>
                <w:lang w:eastAsia="zh-CN"/>
              </w:rPr>
              <w:t>交付周期、交付地点、付款流程、售后驻场、图纸修改、保险、配合施工交底等全流程要求</w:t>
            </w:r>
            <w:r>
              <w:rPr>
                <w:rFonts w:ascii="宋体" w:hAnsi="宋体" w:eastAsia="宋体" w:cs="宋体"/>
                <w:color w:val="auto"/>
                <w:spacing w:val="7"/>
                <w:sz w:val="19"/>
                <w:szCs w:val="19"/>
              </w:rPr>
              <w:t>。</w:t>
            </w:r>
          </w:p>
          <w:p w14:paraId="098E9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10"/>
                <w:sz w:val="19"/>
                <w:szCs w:val="19"/>
              </w:rPr>
              <w:t>1.免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质保期： 必须提供所响应</w:t>
            </w: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eastAsia="zh-CN"/>
              </w:rPr>
              <w:t>设计</w:t>
            </w:r>
            <w:r>
              <w:rPr>
                <w:rFonts w:ascii="宋体" w:hAnsi="宋体" w:eastAsia="宋体" w:cs="宋体"/>
                <w:spacing w:val="5"/>
                <w:sz w:val="19"/>
                <w:szCs w:val="19"/>
              </w:rPr>
              <w:t>服务项目通过最终验收合格、签署验收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合格证书并办理移交手续之日起</w:t>
            </w:r>
            <w:r>
              <w:rPr>
                <w:rFonts w:ascii="宋体" w:hAnsi="宋体" w:eastAsia="宋体" w:cs="宋体"/>
                <w:color w:val="auto"/>
                <w:spacing w:val="3"/>
                <w:sz w:val="19"/>
                <w:szCs w:val="19"/>
              </w:rPr>
              <w:t>？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个月的免费</w:t>
            </w:r>
            <w:r>
              <w:rPr>
                <w:rFonts w:hint="eastAsia" w:ascii="宋体" w:hAnsi="宋体" w:eastAsia="宋体" w:cs="宋体"/>
                <w:spacing w:val="3"/>
                <w:sz w:val="19"/>
                <w:szCs w:val="19"/>
                <w:lang w:eastAsia="zh-CN"/>
              </w:rPr>
              <w:t>提供图纸微调、答疑、现场技术对接，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在免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费</w:t>
            </w:r>
            <w:r>
              <w:rPr>
                <w:rFonts w:ascii="宋体" w:hAnsi="宋体" w:eastAsia="宋体" w:cs="宋体"/>
                <w:spacing w:val="7"/>
                <w:sz w:val="19"/>
                <w:szCs w:val="19"/>
              </w:rPr>
              <w:t>质量保证期内实行“三包”服务。</w:t>
            </w:r>
          </w:p>
          <w:p w14:paraId="3EC13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5" w:firstLine="3"/>
              <w:textAlignment w:val="auto"/>
              <w:rPr>
                <w:rFonts w:ascii="宋体" w:hAnsi="宋体" w:eastAsia="宋体" w:cs="宋体"/>
                <w:color w:val="auto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2.付款方式：中标(成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交) 通知书发出之日起30 天以内， 供应商应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向采购人交付合同总价款的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9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-10%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 xml:space="preserve"> (工程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  <w:u w:val="single"/>
              </w:rPr>
              <w:t>%)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作为履约保证金。项目质</w:t>
            </w:r>
            <w:r>
              <w:rPr>
                <w:rFonts w:ascii="宋体" w:hAnsi="宋体" w:eastAsia="宋体" w:cs="宋体"/>
                <w:spacing w:val="18"/>
                <w:sz w:val="19"/>
                <w:szCs w:val="19"/>
              </w:rPr>
              <w:t>保期</w:t>
            </w:r>
            <w:r>
              <w:rPr>
                <w:rFonts w:ascii="宋体" w:hAnsi="宋体" w:eastAsia="宋体" w:cs="宋体"/>
                <w:spacing w:val="13"/>
                <w:sz w:val="19"/>
                <w:szCs w:val="19"/>
              </w:rPr>
              <w:t>结</w:t>
            </w:r>
            <w:r>
              <w:rPr>
                <w:rFonts w:ascii="宋体" w:hAnsi="宋体" w:eastAsia="宋体" w:cs="宋体"/>
                <w:spacing w:val="9"/>
                <w:sz w:val="19"/>
                <w:szCs w:val="19"/>
              </w:rPr>
              <w:t>束后，在质量无问题及售后服务无瑕疵的情况下，采购人根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19"/>
                <w:szCs w:val="19"/>
              </w:rPr>
              <w:t>据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中标人申请报告一次性全额无息退还履约保证金。</w:t>
            </w:r>
            <w:r>
              <w:rPr>
                <w:rFonts w:ascii="宋体" w:hAnsi="宋体" w:eastAsia="宋体" w:cs="宋体"/>
                <w:sz w:val="19"/>
                <w:szCs w:val="19"/>
              </w:rPr>
              <w:t xml:space="preserve">             </w:t>
            </w:r>
            <w:r>
              <w:rPr>
                <w:rFonts w:ascii="宋体" w:hAnsi="宋体" w:eastAsia="宋体" w:cs="宋体"/>
                <w:spacing w:val="8"/>
                <w:sz w:val="19"/>
                <w:szCs w:val="19"/>
              </w:rPr>
              <w:t>3</w:t>
            </w:r>
            <w:r>
              <w:rPr>
                <w:rFonts w:ascii="宋体" w:hAnsi="宋体" w:eastAsia="宋体" w:cs="宋体"/>
                <w:spacing w:val="4"/>
                <w:sz w:val="19"/>
                <w:szCs w:val="19"/>
              </w:rPr>
              <w:t>.设计成果交付地点：</w:t>
            </w:r>
            <w:r>
              <w:rPr>
                <w:rFonts w:ascii="宋体" w:hAnsi="宋体" w:eastAsia="宋体" w:cs="宋体"/>
                <w:color w:val="auto"/>
                <w:spacing w:val="4"/>
                <w:sz w:val="19"/>
                <w:szCs w:val="19"/>
              </w:rPr>
              <w:t>？？</w:t>
            </w:r>
          </w:p>
          <w:p w14:paraId="2D8F5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4.设计成果交付期限：合同签订生效后？个工作日完成方案设计、施工图设计并交付成果。</w:t>
            </w:r>
          </w:p>
          <w:p w14:paraId="67B8D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5.设计交底要求： ？？</w:t>
            </w:r>
          </w:p>
          <w:p w14:paraId="04A2C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right="2" w:firstLine="13"/>
              <w:textAlignment w:val="auto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3"/>
                <w:sz w:val="19"/>
                <w:szCs w:val="19"/>
              </w:rPr>
              <w:t>6.其他售后服务条款：</w:t>
            </w:r>
          </w:p>
        </w:tc>
        <w:tc>
          <w:tcPr>
            <w:tcW w:w="568" w:type="dxa"/>
            <w:vAlign w:val="top"/>
          </w:tcPr>
          <w:p w14:paraId="592E7F3B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0547E205">
            <w:pPr>
              <w:rPr>
                <w:rFonts w:ascii="Arial"/>
                <w:sz w:val="21"/>
              </w:rPr>
            </w:pPr>
          </w:p>
        </w:tc>
      </w:tr>
      <w:tr w14:paraId="4DA5E8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9" w:hRule="atLeast"/>
        </w:trPr>
        <w:tc>
          <w:tcPr>
            <w:tcW w:w="571" w:type="dxa"/>
            <w:vAlign w:val="top"/>
          </w:tcPr>
          <w:p w14:paraId="33E5A5F8">
            <w:pPr>
              <w:spacing w:before="62" w:line="189" w:lineRule="auto"/>
              <w:ind w:left="241"/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</w:pPr>
          </w:p>
          <w:p w14:paraId="1291546A">
            <w:pPr>
              <w:spacing w:before="62" w:line="189" w:lineRule="auto"/>
              <w:ind w:left="241" w:leftChars="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z w:val="19"/>
                <w:szCs w:val="19"/>
                <w:lang w:val="en-US" w:eastAsia="zh-CN"/>
              </w:rPr>
              <w:t>4</w:t>
            </w:r>
          </w:p>
        </w:tc>
        <w:tc>
          <w:tcPr>
            <w:tcW w:w="1135" w:type="dxa"/>
            <w:vAlign w:val="top"/>
          </w:tcPr>
          <w:p w14:paraId="650D69BE">
            <w:pPr>
              <w:spacing w:before="62" w:line="228" w:lineRule="auto"/>
              <w:ind w:left="174"/>
              <w:rPr>
                <w:rFonts w:hint="eastAsia" w:ascii="宋体" w:hAnsi="宋体" w:eastAsia="宋体" w:cs="宋体"/>
                <w:spacing w:val="5"/>
                <w:sz w:val="19"/>
                <w:szCs w:val="19"/>
                <w:lang w:val="en-US" w:eastAsia="zh-CN"/>
              </w:rPr>
            </w:pPr>
          </w:p>
          <w:p w14:paraId="157D8303">
            <w:pPr>
              <w:spacing w:before="62" w:line="228" w:lineRule="auto"/>
              <w:ind w:left="174" w:leftChars="0"/>
              <w:rPr>
                <w:rFonts w:ascii="宋体" w:hAnsi="宋体" w:eastAsia="宋体" w:cs="宋体"/>
                <w:spacing w:val="7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5"/>
                <w:sz w:val="19"/>
                <w:szCs w:val="19"/>
                <w:lang w:val="en-US" w:eastAsia="zh-CN"/>
              </w:rPr>
              <w:t>评分方案</w:t>
            </w:r>
          </w:p>
        </w:tc>
        <w:tc>
          <w:tcPr>
            <w:tcW w:w="5808" w:type="dxa"/>
            <w:vAlign w:val="top"/>
          </w:tcPr>
          <w:p w14:paraId="6B692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right="2"/>
              <w:textAlignment w:val="auto"/>
              <w:rPr>
                <w:rFonts w:hint="eastAsia" w:ascii="宋体" w:hAnsi="宋体" w:eastAsia="宋体" w:cs="宋体"/>
                <w:spacing w:val="8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</w:p>
          <w:p w14:paraId="0DA97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1" w:line="240" w:lineRule="exact"/>
              <w:ind w:left="6" w:leftChars="0" w:right="2" w:rightChars="0" w:firstLine="626" w:firstLineChars="304"/>
              <w:textAlignment w:val="auto"/>
              <w:rPr>
                <w:rFonts w:ascii="宋体" w:hAnsi="宋体" w:eastAsia="宋体" w:cs="宋体"/>
                <w:spacing w:val="3"/>
                <w:sz w:val="19"/>
                <w:szCs w:val="19"/>
              </w:rPr>
            </w:pPr>
            <w:r>
              <w:rPr>
                <w:rFonts w:hint="eastAsia" w:ascii="宋体" w:hAnsi="宋体" w:eastAsia="宋体" w:cs="宋体"/>
                <w:spacing w:val="8"/>
                <w:sz w:val="19"/>
                <w:szCs w:val="19"/>
                <w:lang w:val="en-US" w:eastAsia="zh-CN"/>
                <w14:textOutline w14:w="3614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四、评分方案：</w:t>
            </w:r>
            <w:r>
              <w:rPr>
                <w:rFonts w:hint="eastAsia" w:ascii="宋体" w:hAnsi="宋体" w:eastAsia="宋体" w:cs="宋体"/>
                <w:spacing w:val="4"/>
                <w:sz w:val="19"/>
                <w:szCs w:val="19"/>
                <w:lang w:val="en-US" w:eastAsia="zh-CN"/>
              </w:rPr>
              <w:t>分值比例合理且细化。</w:t>
            </w:r>
          </w:p>
        </w:tc>
        <w:tc>
          <w:tcPr>
            <w:tcW w:w="568" w:type="dxa"/>
            <w:vAlign w:val="top"/>
          </w:tcPr>
          <w:p w14:paraId="4DA746C0">
            <w:pPr>
              <w:rPr>
                <w:rFonts w:ascii="Arial"/>
                <w:sz w:val="21"/>
              </w:rPr>
            </w:pPr>
          </w:p>
        </w:tc>
        <w:tc>
          <w:tcPr>
            <w:tcW w:w="569" w:type="dxa"/>
            <w:vAlign w:val="top"/>
          </w:tcPr>
          <w:p w14:paraId="35AE6150">
            <w:pPr>
              <w:rPr>
                <w:rFonts w:ascii="Arial"/>
                <w:sz w:val="21"/>
              </w:rPr>
            </w:pPr>
          </w:p>
        </w:tc>
      </w:tr>
    </w:tbl>
    <w:p w14:paraId="442F3529">
      <w:pPr>
        <w:pStyle w:val="2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DA441AD">
      <w:pPr>
        <w:spacing w:line="580" w:lineRule="exact"/>
        <w:ind w:right="640"/>
        <w:jc w:val="right"/>
        <w:rPr>
          <w:rFonts w:ascii="仿宋" w:hAnsi="仿宋" w:eastAsia="仿宋"/>
          <w:sz w:val="32"/>
          <w:szCs w:val="32"/>
        </w:rPr>
      </w:pPr>
    </w:p>
    <w:p w14:paraId="4E3206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7B9E02F-E722-4B26-8DF8-63D07C86992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A644A5B-98A3-454E-A1ED-D795B4DB671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DA3C838-5035-4608-B89C-FA1274B629C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DDDB681-64D9-4A31-97CF-9A318710C45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BB762A30-CD35-4BA2-A531-E5C0A9EA3A10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6" w:fontKey="{F79A3BDF-A99A-4A02-93D2-D662F4EBBE4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iNmEwYzA3ZmNiNDZlYWUyYTRjNjAwMWFhZDg4YzcifQ=="/>
  </w:docVars>
  <w:rsids>
    <w:rsidRoot w:val="295E2B63"/>
    <w:rsid w:val="01542DFE"/>
    <w:rsid w:val="05504736"/>
    <w:rsid w:val="06E44477"/>
    <w:rsid w:val="08151AC6"/>
    <w:rsid w:val="098665FC"/>
    <w:rsid w:val="0B5D195B"/>
    <w:rsid w:val="0BCE595E"/>
    <w:rsid w:val="13CC58CF"/>
    <w:rsid w:val="1A853888"/>
    <w:rsid w:val="1B882B0B"/>
    <w:rsid w:val="1D962818"/>
    <w:rsid w:val="223C3FCD"/>
    <w:rsid w:val="295E2B63"/>
    <w:rsid w:val="36D479CF"/>
    <w:rsid w:val="38DF6D3C"/>
    <w:rsid w:val="3B0F1627"/>
    <w:rsid w:val="3C230512"/>
    <w:rsid w:val="3DF94326"/>
    <w:rsid w:val="40400065"/>
    <w:rsid w:val="4056408A"/>
    <w:rsid w:val="4232300D"/>
    <w:rsid w:val="43625B18"/>
    <w:rsid w:val="46D85CA4"/>
    <w:rsid w:val="49920446"/>
    <w:rsid w:val="49EA2030"/>
    <w:rsid w:val="4A4320BE"/>
    <w:rsid w:val="54442DCE"/>
    <w:rsid w:val="59EB3918"/>
    <w:rsid w:val="5A3E33E2"/>
    <w:rsid w:val="5B0B06A3"/>
    <w:rsid w:val="62BE57A5"/>
    <w:rsid w:val="63AD4F94"/>
    <w:rsid w:val="64A5552C"/>
    <w:rsid w:val="64B2620C"/>
    <w:rsid w:val="6931512E"/>
    <w:rsid w:val="6B0F6561"/>
    <w:rsid w:val="6CE94E94"/>
    <w:rsid w:val="6E51148A"/>
    <w:rsid w:val="72447549"/>
    <w:rsid w:val="73022E65"/>
    <w:rsid w:val="7417509A"/>
    <w:rsid w:val="763B0CDF"/>
    <w:rsid w:val="7EAD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1536</Words>
  <Characters>1642</Characters>
  <Lines>0</Lines>
  <Paragraphs>0</Paragraphs>
  <TotalTime>406</TotalTime>
  <ScaleCrop>false</ScaleCrop>
  <LinksUpToDate>false</LinksUpToDate>
  <CharactersWithSpaces>1653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2025-03-19T01:30:00Z</dcterms:created>
  <dc:creator>jxgm</dc:creator>
  <cp:lastModifiedBy>聂慧芬</cp:lastModifiedBy>
  <cp:lastPrinted>2026-09-17T01:40:00Z</cp:lastPrinted>
  <dcterms:modified xsi:type="dcterms:W3CDTF">2026-09-18T02:51:07Z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1B6D3147937641668BA14EACCF0CC1F8_13</vt:lpwstr>
  </property>
  <property fmtid="{D5CDD505-2E9C-101B-9397-08002B2CF9AE}" pid="4" name="KSOTemplateDocerSaveRecord">
    <vt:lpwstr>eyJoZGlkIjoiYjExOTUzZjQ0MWQwYjY2NDNmNjE2MzEwNWEzYWExOTMiLCJ1c2VySWQiOiIxNTUzNzA4Mzg1In0=</vt:lpwstr>
  </property>
  <property fmtid="{D5CDD505-2E9C-101B-9397-08002B2CF9AE}" pid="5" name="AIGC">
    <vt:lpwstr>{"Label":"1","ContentProducer":"001191440300708461136T1WFUO","ProduceID":"c6d7477d4864dd5d12d75556d2733e17-58b9","ReservedCode1":"{\"Type\":\" TC260PG\",\"Version\":1,\"Bindings\":[{\"Type\":\"soft\",\"AlgID\":\"sm3\",\"Value\":\"fcc22e5f598af5f24c9758760effdc4421e44d23d9a7d742b7d84398c29f0d76\"},{\"Type\":\"hash\",\"AlgID\":\"sm3\",\"Value\":\"0bac9708ea644ae2691eef9f1ef5d211f56f745c81f062cef416e61d76f6b10c\"}],\"PubSD\":[{\"Type\":\"DS\",\"AlgID\":\"sm2\",\"TBSData\":{\"Type\":\"Binding\",\"BType\":\"hash\"},\"Signature\":\"3046022100fd10936ac1e600562122851df0c61de971641e4268a84de636b7029ce241280a0221008fc36feb570e25d4250baed9463c23f0ea6c3b494f08a8b6c1f54af9b90528be\"},{\"Type\":\"PubKey\",\"AlgID\":\"sm2\",\"KeyValue\":\"0407f79b28a17a752b3aae4305c98b48978213832729a2571850b1310b2bc9fe8fee039ccf25ebfeac27502414d9fcef792d777183c98893d226171c2f7a3289a2\"}],\"Extension\":{\"Timestamp\":1789112308,\"KeyVersion\":\"v1-TxLeOmf7bqU223\"}}","ContentPropagator":"001191440300708461136T1WFUO","PropagateID":"c6d7477d4864dd5d12d75556d2733e17-58b9","ReservedCode2":"{\"Type\":\" TC260PG\",\"Version\":1,\"Bindings\":[{\"Type\":\"soft\",\"AlgID\":\"sm3\",\"Value\":\"fcc22e5f598af5f24c9758760effdc4421e44d23d9a7d742b7d84398c29f0d76\"},{\"Type\":\"hash\",\"AlgID\":\"sm3\",\"Value\":\"0bac9708ea644ae2691eef9f1ef5d211f56f745c81f062cef416e61d76f6b10c\"}],\"PubSD\":[{\"Type\":\"DS\",\"AlgID\":\"sm2\",\"TBSData\":{\"Type\":\"Binding\",\"BType\":\"hash\"},\"Signature\":\"304502202161f010fc7b2c85cddbc07372ec65689989468fe26d96a97387800b1405ded2022100bbe8f3a19426b4132636f7a1f40d08545b1a52951def98cff025d4b681f426bf\"},{\"Type\":\"PubKey\",\"AlgID\":\"sm2\",\"KeyValue\":\"0407f79b28a17a752b3aae4305c98b48978213832729a2571850b1310b2bc9fe8fee039ccf25ebfeac27502414d9fcef792d777183c98893d226171c2f7a3289a2\"}],\"Extension\":{\"Timestamp\":1789112308,\"KeyVersion\":\"v1-TxLeOmf7bqU223\"}}"}</vt:lpwstr>
  </property>
</Properties>
</file>